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753B3335" w:rsidR="0078097D" w:rsidRPr="00232BBA" w:rsidRDefault="00960B2E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Dr. Kristen E. Kvam</w:t>
            </w:r>
            <w:r w:rsidR="00F0795A" w:rsidRPr="00232BBA">
              <w:rPr>
                <w:rFonts w:ascii="Calibri" w:hAnsi="Calibri" w:cs="Calibri"/>
                <w:sz w:val="24"/>
                <w:szCs w:val="24"/>
              </w:rPr>
              <w:t xml:space="preserve">              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7ACE4649" w:rsidR="0078097D" w:rsidRPr="00232BBA" w:rsidRDefault="00C241B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EWR 313</w:t>
            </w:r>
            <w:r w:rsidR="00273994">
              <w:rPr>
                <w:rFonts w:ascii="Calibri" w:hAnsi="Calibri" w:cs="Calibri"/>
                <w:sz w:val="24"/>
                <w:szCs w:val="24"/>
              </w:rPr>
              <w:t xml:space="preserve"> CAM and SO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096B1E15" w:rsidR="0078097D" w:rsidRPr="00232BBA" w:rsidRDefault="00C241B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Engaging World Religions: People of the Book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328FF01C" w:rsidR="0078097D" w:rsidRPr="00232BBA" w:rsidRDefault="00960B2E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Fall,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4DEEDD25" w:rsidR="0078097D" w:rsidRPr="00232BBA" w:rsidRDefault="00960B2E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03/15/2024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(est)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418BACE5" w:rsidR="00794557" w:rsidRPr="00232BBA" w:rsidRDefault="009B1BD4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Bible, any translation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2DE31334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78A35AE6" w:rsidR="00794557" w:rsidRPr="00232BBA" w:rsidRDefault="00794557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3E0FA114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0E9D27E1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10FE80B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2526A93F" w:rsidR="00794557" w:rsidRPr="00C241B7" w:rsidRDefault="00C241B7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Living Traditions of the Bible: Scripture in Jewish, Christian, and Muslim Practice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0238C269" w:rsidR="00794557" w:rsidRPr="00232BBA" w:rsidRDefault="00C241B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Bowley, James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1EDAA0C3" w:rsidR="00794557" w:rsidRPr="00232BBA" w:rsidRDefault="0012290C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0975088B" w:rsidR="00794557" w:rsidRPr="00232BBA" w:rsidRDefault="00C241B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Chalice Press, 1999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14C58940" w:rsidR="00794557" w:rsidRPr="00232BBA" w:rsidRDefault="0012290C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9780827221277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09CE5FE7" w:rsidR="00794557" w:rsidRPr="00232BBA" w:rsidRDefault="0012290C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6.00 used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32ED4059" w:rsidR="00794557" w:rsidRPr="00232BBA" w:rsidRDefault="0012290C" w:rsidP="00232BBA">
            <w:pPr>
              <w:pStyle w:val="NoSpacing"/>
              <w:rPr>
                <w:rFonts w:ascii="Calibri" w:hAnsi="Calibri" w:cs="Calibri"/>
              </w:rPr>
            </w:pPr>
            <w:r w:rsidRPr="0039399A">
              <w:rPr>
                <w:rFonts w:ascii="Calibri" w:hAnsi="Calibri" w:cs="Calibri"/>
                <w:i/>
              </w:rPr>
              <w:t>The Qur’an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68C9EBBD" w:rsidR="00794557" w:rsidRPr="00232BBA" w:rsidRDefault="0012290C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M.A.S. Abdel Haleen, 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254F115F" w:rsidR="00794557" w:rsidRPr="00232BBA" w:rsidRDefault="0012290C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2F588163" w:rsidR="00794557" w:rsidRPr="00232BBA" w:rsidRDefault="0012290C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Oxford World Classics, 2008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3AF99BF4" w:rsidR="00794557" w:rsidRPr="00232BBA" w:rsidRDefault="0012290C" w:rsidP="00232BB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t>9780199535958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7FAC6C28" w:rsidR="00794557" w:rsidRPr="00232BBA" w:rsidRDefault="0012290C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7.50 used</w:t>
            </w:r>
          </w:p>
        </w:tc>
      </w:tr>
      <w:tr w:rsidR="0012290C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12290C" w:rsidRPr="0078097D" w:rsidRDefault="0012290C" w:rsidP="0012290C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5D60EA7C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“The Issue of Woman-Man Equality in the Islamic Tradition” in </w:t>
            </w:r>
            <w:r w:rsidRPr="0039399A">
              <w:rPr>
                <w:rFonts w:ascii="Calibri" w:hAnsi="Calibri"/>
                <w:i/>
              </w:rPr>
              <w:t>Eve and Adam: Jewish, Christian, and Muslim Readings on Genesis and Gender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4D6EF0ED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Kvam, Schearing, and Ziegler, eds.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6E0034AA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6AA96F24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Indiana University Press, 1999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69E3A488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9780253212719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6AA6F00E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used</w:t>
            </w:r>
          </w:p>
        </w:tc>
      </w:tr>
      <w:tr w:rsidR="0012290C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12290C" w:rsidRPr="0078097D" w:rsidRDefault="0012290C" w:rsidP="0012290C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5A8C2F64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 w:rsidRPr="0039399A">
              <w:rPr>
                <w:rFonts w:ascii="Calibri" w:hAnsi="Calibri"/>
                <w:i/>
              </w:rPr>
              <w:t>Heirs of Abraham: The Future of Muslim, Jewish, and Christian Relations</w:t>
            </w:r>
          </w:p>
        </w:tc>
        <w:tc>
          <w:tcPr>
            <w:tcW w:w="1890" w:type="dxa"/>
            <w:vAlign w:val="center"/>
          </w:tcPr>
          <w:p w14:paraId="4AB44155" w14:textId="653F500A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Hinze and Omar, eds.</w:t>
            </w:r>
          </w:p>
        </w:tc>
        <w:tc>
          <w:tcPr>
            <w:tcW w:w="720" w:type="dxa"/>
            <w:vAlign w:val="center"/>
          </w:tcPr>
          <w:p w14:paraId="003B2AA8" w14:textId="2F51622A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1890" w:type="dxa"/>
            <w:vAlign w:val="center"/>
          </w:tcPr>
          <w:p w14:paraId="78E01B29" w14:textId="4B281AFA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Wipf and Stock, 2013</w:t>
            </w:r>
          </w:p>
        </w:tc>
        <w:tc>
          <w:tcPr>
            <w:tcW w:w="1620" w:type="dxa"/>
            <w:vAlign w:val="center"/>
          </w:tcPr>
          <w:p w14:paraId="487EF393" w14:textId="1AE37ACE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9781620327609</w:t>
            </w:r>
          </w:p>
        </w:tc>
        <w:tc>
          <w:tcPr>
            <w:tcW w:w="990" w:type="dxa"/>
            <w:vAlign w:val="center"/>
          </w:tcPr>
          <w:p w14:paraId="4953240C" w14:textId="10A1589B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used</w:t>
            </w:r>
          </w:p>
        </w:tc>
      </w:tr>
      <w:tr w:rsidR="0012290C" w:rsidRPr="0078097D" w14:paraId="0BACD22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32680DDC" w14:textId="18D0FAFE" w:rsidR="0012290C" w:rsidRPr="0078097D" w:rsidRDefault="0012290C" w:rsidP="0012290C">
            <w:r>
              <w:t>6</w:t>
            </w:r>
          </w:p>
        </w:tc>
        <w:tc>
          <w:tcPr>
            <w:tcW w:w="3510" w:type="dxa"/>
            <w:vAlign w:val="center"/>
          </w:tcPr>
          <w:p w14:paraId="5CE871E2" w14:textId="7BCE69E8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 w:rsidRPr="0039399A">
              <w:rPr>
                <w:rFonts w:cstheme="minorHAnsi"/>
                <w:i/>
              </w:rPr>
              <w:t>The Faith Club: A Muslim, a Christian, A Jew – Three Women Search for Understanding</w:t>
            </w:r>
          </w:p>
        </w:tc>
        <w:tc>
          <w:tcPr>
            <w:tcW w:w="1890" w:type="dxa"/>
            <w:vAlign w:val="center"/>
          </w:tcPr>
          <w:p w14:paraId="5C65D772" w14:textId="6EA0CC02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Idilby, Oliver, and Warner</w:t>
            </w:r>
          </w:p>
        </w:tc>
        <w:tc>
          <w:tcPr>
            <w:tcW w:w="720" w:type="dxa"/>
            <w:vAlign w:val="center"/>
          </w:tcPr>
          <w:p w14:paraId="4A072347" w14:textId="7BD70084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1890" w:type="dxa"/>
            <w:vAlign w:val="center"/>
          </w:tcPr>
          <w:p w14:paraId="0EE14618" w14:textId="697C0995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Atria Books, 2007</w:t>
            </w:r>
          </w:p>
        </w:tc>
        <w:tc>
          <w:tcPr>
            <w:tcW w:w="1620" w:type="dxa"/>
            <w:vAlign w:val="center"/>
          </w:tcPr>
          <w:p w14:paraId="734ABE63" w14:textId="0A9FC4C5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9780743290487</w:t>
            </w:r>
          </w:p>
        </w:tc>
        <w:tc>
          <w:tcPr>
            <w:tcW w:w="990" w:type="dxa"/>
            <w:vAlign w:val="center"/>
          </w:tcPr>
          <w:p w14:paraId="1576DA99" w14:textId="7C5C0221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used</w:t>
            </w:r>
          </w:p>
        </w:tc>
      </w:tr>
      <w:tr w:rsidR="0012290C" w:rsidRPr="0078097D" w14:paraId="53938B32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5B086063" w14:textId="3EFA5E43" w:rsidR="0012290C" w:rsidRPr="0078097D" w:rsidRDefault="0012290C" w:rsidP="0012290C">
            <w:r>
              <w:t>7</w:t>
            </w:r>
          </w:p>
        </w:tc>
        <w:tc>
          <w:tcPr>
            <w:tcW w:w="3510" w:type="dxa"/>
            <w:vAlign w:val="center"/>
          </w:tcPr>
          <w:p w14:paraId="6B669007" w14:textId="25FF101A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 w:rsidRPr="0039399A">
              <w:rPr>
                <w:rFonts w:cstheme="minorHAnsi"/>
                <w:i/>
              </w:rPr>
              <w:t>Hagar, Sarah, and Their Children: Jewish, Christian, and Muslim Perspectives</w:t>
            </w:r>
          </w:p>
        </w:tc>
        <w:tc>
          <w:tcPr>
            <w:tcW w:w="1890" w:type="dxa"/>
            <w:vAlign w:val="center"/>
          </w:tcPr>
          <w:p w14:paraId="58B0431E" w14:textId="51973B23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Trible and Russell, eds.</w:t>
            </w:r>
          </w:p>
        </w:tc>
        <w:tc>
          <w:tcPr>
            <w:tcW w:w="720" w:type="dxa"/>
            <w:vAlign w:val="center"/>
          </w:tcPr>
          <w:p w14:paraId="7D0BC95C" w14:textId="2D1761D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1890" w:type="dxa"/>
            <w:vAlign w:val="center"/>
          </w:tcPr>
          <w:p w14:paraId="4838CB1A" w14:textId="07E3ED6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Westminster John Knox, 2006</w:t>
            </w:r>
          </w:p>
        </w:tc>
        <w:tc>
          <w:tcPr>
            <w:tcW w:w="1620" w:type="dxa"/>
            <w:vAlign w:val="center"/>
          </w:tcPr>
          <w:p w14:paraId="45D487E0" w14:textId="1DA4D33D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9780664228825</w:t>
            </w:r>
          </w:p>
        </w:tc>
        <w:tc>
          <w:tcPr>
            <w:tcW w:w="990" w:type="dxa"/>
            <w:vAlign w:val="center"/>
          </w:tcPr>
          <w:p w14:paraId="056D77A4" w14:textId="61F2D674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used</w:t>
            </w:r>
          </w:p>
        </w:tc>
      </w:tr>
      <w:tr w:rsidR="0012290C" w:rsidRPr="0078097D" w14:paraId="3CBD83A4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4BD490BA" w14:textId="77777777" w:rsidR="0012290C" w:rsidRPr="0078097D" w:rsidRDefault="0012290C" w:rsidP="0012290C"/>
        </w:tc>
        <w:tc>
          <w:tcPr>
            <w:tcW w:w="3510" w:type="dxa"/>
            <w:vAlign w:val="center"/>
          </w:tcPr>
          <w:p w14:paraId="34C1019E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6B67E044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14:paraId="0B1370B1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03D6DDA4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65019DEA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0A1402D6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2290C" w:rsidRPr="0078097D" w14:paraId="3BDED5EE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2AA8B6D5" w14:textId="77777777" w:rsidR="0012290C" w:rsidRPr="0078097D" w:rsidRDefault="0012290C" w:rsidP="0012290C"/>
        </w:tc>
        <w:tc>
          <w:tcPr>
            <w:tcW w:w="3510" w:type="dxa"/>
            <w:vAlign w:val="center"/>
          </w:tcPr>
          <w:p w14:paraId="257AC2A0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71894545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14:paraId="3A335D68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5F9323A4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2ACB21A5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4DD69354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2290C" w:rsidRPr="0078097D" w14:paraId="03636F98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406F744F" w14:textId="77777777" w:rsidR="0012290C" w:rsidRPr="0078097D" w:rsidRDefault="0012290C" w:rsidP="0012290C"/>
        </w:tc>
        <w:tc>
          <w:tcPr>
            <w:tcW w:w="3510" w:type="dxa"/>
            <w:vAlign w:val="center"/>
          </w:tcPr>
          <w:p w14:paraId="0ECDD764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09CCBEE5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14:paraId="0EC40713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11501A01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9025162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78F8FF34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2290C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12290C" w:rsidRPr="009673B2" w:rsidRDefault="0012290C" w:rsidP="0012290C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12290C" w:rsidRPr="009673B2" w:rsidRDefault="0012290C" w:rsidP="0012290C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67B7326" w:rsidR="0012290C" w:rsidRPr="009673B2" w:rsidRDefault="0012290C" w:rsidP="0012290C">
            <w:pPr>
              <w:spacing w:before="0"/>
            </w:pPr>
            <w:r>
              <w:t>1000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420"/>
        <w:gridCol w:w="1980"/>
        <w:gridCol w:w="720"/>
        <w:gridCol w:w="2070"/>
        <w:gridCol w:w="1440"/>
        <w:gridCol w:w="990"/>
      </w:tblGrid>
      <w:tr w:rsidR="003400CA" w:rsidRPr="009673B2" w14:paraId="05C1FEF4" w14:textId="77777777" w:rsidTr="009C6F00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lastRenderedPageBreak/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(est)</w:t>
            </w:r>
          </w:p>
        </w:tc>
      </w:tr>
      <w:tr w:rsidR="0012290C" w:rsidRPr="009673B2" w14:paraId="401FF4EF" w14:textId="77777777" w:rsidTr="009C6F00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12290C" w:rsidRPr="009673B2" w:rsidRDefault="0012290C" w:rsidP="0012290C">
            <w:r w:rsidRPr="009673B2"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4578CF61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 w:rsidRPr="00E22DAC">
              <w:rPr>
                <w:rFonts w:ascii="Calibri" w:hAnsi="Calibri"/>
                <w:i/>
                <w:iCs/>
                <w:color w:val="000000"/>
              </w:rPr>
              <w:t>Your God, My God, Our God: Rethinking Christian Theology for Religious Plurality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6B898D9" w14:textId="77777777" w:rsidR="0012290C" w:rsidRDefault="0012290C" w:rsidP="0012290C"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Ariarajah, S. Wesley</w:t>
            </w:r>
          </w:p>
          <w:p w14:paraId="52A5BA8F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2CCAA27" w14:textId="77777777" w:rsidR="0012290C" w:rsidRDefault="0012290C" w:rsidP="0012290C"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WCC Publications: 2012</w:t>
            </w:r>
          </w:p>
          <w:p w14:paraId="11B3CAE5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2290C" w:rsidRPr="009673B2" w14:paraId="62B7F4EE" w14:textId="77777777" w:rsidTr="009C6F00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12290C" w:rsidRPr="009673B2" w:rsidRDefault="0012290C" w:rsidP="0012290C">
            <w:r w:rsidRPr="009673B2"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6E3A135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 w:rsidRPr="00E22DAC">
              <w:rPr>
                <w:rFonts w:ascii="Calibri" w:hAnsi="Calibri"/>
                <w:i/>
                <w:iCs/>
                <w:color w:val="000000"/>
              </w:rPr>
              <w:t>Shared Stories, Rival Tellings: Early Encounters of Jews, Christians, and Muslims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504F54E" w14:textId="77777777" w:rsidR="0012290C" w:rsidRDefault="0012290C" w:rsidP="0012290C"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Gregg, Robert C</w:t>
            </w:r>
          </w:p>
          <w:p w14:paraId="039E754A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A437F2F" w14:textId="77777777" w:rsidR="0012290C" w:rsidRDefault="0012290C" w:rsidP="0012290C"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Oxford University Press, 2015</w:t>
            </w:r>
          </w:p>
          <w:p w14:paraId="17EACC97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2290C" w:rsidRPr="009673B2" w14:paraId="7A13A1CD" w14:textId="77777777" w:rsidTr="009C6F00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12290C" w:rsidRPr="009673B2" w:rsidRDefault="0012290C" w:rsidP="0012290C">
            <w:r w:rsidRPr="009673B2"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1167C278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 w:rsidRPr="0039399A">
              <w:rPr>
                <w:rFonts w:cstheme="minorHAnsi"/>
                <w:i/>
              </w:rPr>
              <w:t>Feminist Edges of the Qur’an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549C3056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Hidayatullah, Aysha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06F73CAC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Oxford, 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2290C" w:rsidRPr="009673B2" w14:paraId="3DBD6D0D" w14:textId="77777777" w:rsidTr="009C6F00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12290C" w:rsidRPr="009673B2" w:rsidRDefault="0012290C" w:rsidP="0012290C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5DF436B0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 w:rsidRPr="0039399A">
              <w:rPr>
                <w:i/>
              </w:rPr>
              <w:t>The Bible Tells Me So: Uses and Abuses of Holy Scripture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CE2F90B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Hill, Jim, and Rand Cheadle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2A79058C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Anchor Books, 1996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12290C" w:rsidRPr="00232BBA" w:rsidRDefault="0012290C" w:rsidP="0012290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E3C42" w:rsidRPr="009673B2" w14:paraId="46BE3CE9" w14:textId="77777777" w:rsidTr="009C6F00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15506471" w14:textId="3653C7E8" w:rsidR="004E3C42" w:rsidRDefault="004E3C42" w:rsidP="004E3C42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829EF7C" w14:textId="43D50343" w:rsidR="004E3C42" w:rsidRPr="0039399A" w:rsidRDefault="004E3C42" w:rsidP="004E3C42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Honoring our Neighbor’s Faith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D536E0" w14:textId="74101417" w:rsidR="004E3C42" w:rsidRDefault="004E3C42" w:rsidP="004E3C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Farlee, Robert Buckley 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DA6E627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6D8112D" w14:textId="4A5B95BD" w:rsidR="004E3C42" w:rsidRDefault="004E3C42" w:rsidP="004E3C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Minneapolis: Augsburg Fortress, 1999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17CF3A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E75C2C8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E3C42" w:rsidRPr="009673B2" w14:paraId="4C2291BD" w14:textId="77777777" w:rsidTr="009C6F00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604F8C94" w14:textId="714238FF" w:rsidR="004E3C42" w:rsidRPr="009673B2" w:rsidRDefault="004E3C42" w:rsidP="004E3C42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6D0F2D0" w14:textId="6A31DE3E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  <w:r w:rsidRPr="0039399A">
              <w:rPr>
                <w:rFonts w:cstheme="minorHAnsi"/>
                <w:i/>
              </w:rPr>
              <w:t>Families of Faith: An Introduction to World Religions for Christians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90008B9" w14:textId="1627E3C4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Martinson, Paul V.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5BA861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4575ECB" w14:textId="1359A601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Fortress, 1999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6DC4526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B558D82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E3C42" w:rsidRPr="009673B2" w14:paraId="2F030BFC" w14:textId="77777777" w:rsidTr="009C6F00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69843613" w14:textId="3F101E79" w:rsidR="004E3C42" w:rsidRPr="009673B2" w:rsidRDefault="004E3C42" w:rsidP="004E3C42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01B705D" w14:textId="5929D5E3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Interreligious Relations and the Church: Key Study Guides(missional, moral, theological, ecumenical, identity)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7B26420" w14:textId="34FF5183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National Council of Churches of Christ in the USA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1B7C5E9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23074E0" w14:textId="4A093C6A" w:rsidR="004E3C42" w:rsidRPr="00232BBA" w:rsidRDefault="00000000" w:rsidP="004E3C42">
            <w:pPr>
              <w:pStyle w:val="NoSpacing"/>
              <w:rPr>
                <w:rFonts w:ascii="Calibri" w:hAnsi="Calibri" w:cs="Calibri"/>
              </w:rPr>
            </w:pPr>
            <w:hyperlink r:id="rId12" w:history="1">
              <w:r w:rsidR="009C6F00" w:rsidRPr="00A65830">
                <w:rPr>
                  <w:rStyle w:val="Hyperlink"/>
                  <w:rFonts w:cstheme="minorHAnsi"/>
                </w:rPr>
                <w:t>www.nationalcouncilofchurches</w:t>
              </w:r>
            </w:hyperlink>
            <w:r w:rsidR="009C6F0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800B187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DA7876C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E3C42" w:rsidRPr="009673B2" w14:paraId="13AB50C2" w14:textId="77777777" w:rsidTr="009C6F00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23308A80" w14:textId="5CBDE6C9" w:rsidR="004E3C42" w:rsidRPr="009673B2" w:rsidRDefault="004E3C42" w:rsidP="004E3C42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83E0673" w14:textId="52025A8C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  <w:r w:rsidRPr="0039399A">
              <w:rPr>
                <w:rFonts w:cstheme="minorHAnsi"/>
                <w:i/>
              </w:rPr>
              <w:t>Three Faiths, One God: The Formative Faith and Practice of Judaism, Christianity, and Islam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E8A3B3A" w14:textId="3F588965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  <w:r w:rsidRPr="001477B5">
              <w:rPr>
                <w:sz w:val="22"/>
                <w:szCs w:val="22"/>
              </w:rPr>
              <w:t>Neusner, Jacob, and Bruce Chilton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80EE48E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E62F62D" w14:textId="429BCE0B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Brill, 2003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8AE6FA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CCBDB5C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E3C42" w:rsidRPr="009673B2" w14:paraId="111A4048" w14:textId="77777777" w:rsidTr="009C6F00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2E45F161" w14:textId="7AC8FD56" w:rsidR="004E3C42" w:rsidRPr="009673B2" w:rsidRDefault="004E3C42" w:rsidP="004E3C42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C49D3FB" w14:textId="6E3C5A7A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  <w:r w:rsidRPr="0039399A">
              <w:rPr>
                <w:rFonts w:cstheme="minorHAnsi"/>
                <w:i/>
              </w:rPr>
              <w:t>Faith and Feminism: Ecumenical Essays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756116F" w14:textId="1C67FC66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Trible and Lipsett, eds.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BE7B394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2E10FF5" w14:textId="5C4A951E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Westminster John Knox, Nov. 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F2DDFA7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DE9E59A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E3C42" w:rsidRPr="009673B2" w14:paraId="0C951B7D" w14:textId="77777777" w:rsidTr="009C6F00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46DE1344" w14:textId="59304BB1" w:rsidR="004E3C42" w:rsidRPr="009673B2" w:rsidRDefault="009C6F00" w:rsidP="004E3C42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51D758" w14:textId="77777777" w:rsidR="004E3C42" w:rsidRDefault="004E3C42" w:rsidP="004E3C42">
            <w:pPr>
              <w:rPr>
                <w:rFonts w:cstheme="minorHAnsi"/>
                <w:i/>
              </w:rPr>
            </w:pPr>
            <w:r w:rsidRPr="0039399A">
              <w:rPr>
                <w:rFonts w:cstheme="minorHAnsi"/>
                <w:i/>
              </w:rPr>
              <w:t>Christianity and Plurality: Classic and Contemporary Readings</w:t>
            </w:r>
          </w:p>
          <w:p w14:paraId="28BF3D89" w14:textId="77777777" w:rsidR="004E3C42" w:rsidRDefault="004E3C42" w:rsidP="004E3C42">
            <w:pPr>
              <w:rPr>
                <w:rFonts w:cstheme="minorHAnsi"/>
                <w:i/>
              </w:rPr>
            </w:pPr>
          </w:p>
          <w:p w14:paraId="5095F7B0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44BE891" w14:textId="4BA88031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Plantinga, Richard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25BD0C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5D23BF1" w14:textId="2867A487" w:rsidR="004E3C42" w:rsidRPr="00232BBA" w:rsidRDefault="009C6F00" w:rsidP="004E3C4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London: Wiley-</w:t>
            </w:r>
            <w:r w:rsidR="004E3C42">
              <w:rPr>
                <w:rFonts w:cstheme="minorHAnsi"/>
              </w:rPr>
              <w:t>Blackwell, 1999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D526A6F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DCA1504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E3C42" w:rsidRPr="009673B2" w14:paraId="66D7DC21" w14:textId="77777777" w:rsidTr="009C6F00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4F4C4681" w14:textId="77777777" w:rsidR="004E3C42" w:rsidRPr="009673B2" w:rsidRDefault="004E3C42" w:rsidP="004E3C42">
            <w:pPr>
              <w:rPr>
                <w:i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C399044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7604C89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464D05B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A99E974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D9E0265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1CED541" w14:textId="77777777" w:rsidR="004E3C42" w:rsidRPr="00232BBA" w:rsidRDefault="004E3C42" w:rsidP="004E3C4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E3C42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14:paraId="07828287" w14:textId="77777777" w:rsidR="004E3C42" w:rsidRPr="009673B2" w:rsidRDefault="004E3C42" w:rsidP="004E3C42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4E3C42" w:rsidRPr="009673B2" w:rsidRDefault="004E3C42" w:rsidP="004E3C42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4E3C42" w:rsidRPr="009673B2" w:rsidRDefault="004E3C42" w:rsidP="004E3C42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2A4D96">
      <w:headerReference w:type="default" r:id="rId13"/>
      <w:footerReference w:type="default" r:id="rId14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24C8D" w14:textId="77777777" w:rsidR="002A4D96" w:rsidRDefault="002A4D96" w:rsidP="00640691">
      <w:r>
        <w:separator/>
      </w:r>
    </w:p>
  </w:endnote>
  <w:endnote w:type="continuationSeparator" w:id="0">
    <w:p w14:paraId="5EB22E88" w14:textId="77777777" w:rsidR="002A4D96" w:rsidRDefault="002A4D9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810A6" w14:textId="77777777" w:rsidR="002A4D96" w:rsidRDefault="002A4D96" w:rsidP="00640691">
      <w:r>
        <w:separator/>
      </w:r>
    </w:p>
  </w:footnote>
  <w:footnote w:type="continuationSeparator" w:id="0">
    <w:p w14:paraId="214759C2" w14:textId="77777777" w:rsidR="002A4D96" w:rsidRDefault="002A4D9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C11FD"/>
    <w:rsid w:val="000F2D95"/>
    <w:rsid w:val="001013D2"/>
    <w:rsid w:val="00113F4E"/>
    <w:rsid w:val="0012290C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73994"/>
    <w:rsid w:val="002A4D96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E3C42"/>
    <w:rsid w:val="004F061C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61ADB"/>
    <w:rsid w:val="008805B5"/>
    <w:rsid w:val="008A6B75"/>
    <w:rsid w:val="008E79D5"/>
    <w:rsid w:val="00915E94"/>
    <w:rsid w:val="0092230D"/>
    <w:rsid w:val="00933818"/>
    <w:rsid w:val="009408E3"/>
    <w:rsid w:val="00960B2E"/>
    <w:rsid w:val="00966273"/>
    <w:rsid w:val="009673B2"/>
    <w:rsid w:val="00974DE3"/>
    <w:rsid w:val="00975D67"/>
    <w:rsid w:val="00977173"/>
    <w:rsid w:val="0098194A"/>
    <w:rsid w:val="00996849"/>
    <w:rsid w:val="009A0395"/>
    <w:rsid w:val="009B1BD4"/>
    <w:rsid w:val="009C6F00"/>
    <w:rsid w:val="009E366B"/>
    <w:rsid w:val="009E66E0"/>
    <w:rsid w:val="00A11996"/>
    <w:rsid w:val="00A1541C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241B7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  <w:style w:type="character" w:styleId="UnresolvedMention">
    <w:name w:val="Unresolved Mention"/>
    <w:basedOn w:val="DefaultParagraphFont"/>
    <w:uiPriority w:val="99"/>
    <w:semiHidden/>
    <w:unhideWhenUsed/>
    <w:rsid w:val="009C6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ionalcouncilofchurch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Adams</cp:lastModifiedBy>
  <cp:revision>3</cp:revision>
  <cp:lastPrinted>2018-09-06T15:12:00Z</cp:lastPrinted>
  <dcterms:created xsi:type="dcterms:W3CDTF">2024-03-15T20:22:00Z</dcterms:created>
  <dcterms:modified xsi:type="dcterms:W3CDTF">2024-03-15T20:24:00Z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